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bookmarkStart w:id="0" w:name="_GoBack"/>
      <w:bookmarkEnd w:id="0"/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ED25AD">
        <w:rPr>
          <w:b/>
          <w:kern w:val="0"/>
          <w:lang w:val="ru-RU" w:eastAsia="en-US" w:bidi="ar-SA"/>
        </w:rPr>
        <w:fldChar w:fldCharType="separate"/>
      </w:r>
      <w:r w:rsidR="00FB1890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7780A">
        <w:rPr>
          <w:rFonts w:cs="Times New Roman"/>
          <w:b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sz w:val="22"/>
          <w:szCs w:val="22"/>
          <w:lang w:val="ru-RU"/>
        </w:rPr>
        <w:t>29.04.2022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FB1890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8975F8">
        <w:rPr>
          <w:b/>
          <w:kern w:val="0"/>
          <w:lang w:val="ru-RU" w:eastAsia="en-US" w:bidi="ar-SA"/>
        </w:rPr>
        <w:fldChar w:fldCharType="separate"/>
      </w:r>
      <w:r w:rsidR="00FB1890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14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26209RMFS,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68,29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7,53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7,19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6,94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4,50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156DD4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8D231C" w:rsidTr="00F2539D">
        <w:tc>
          <w:tcPr>
            <w:tcW w:w="3190" w:type="dxa"/>
          </w:tcPr>
          <w:p w:rsidR="00C26A0D" w:rsidRPr="00407B17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FB1890" w:rsidRPr="008D231C" w:rsidTr="00F2539D">
        <w:tc>
          <w:tcPr>
            <w:tcW w:w="3190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FB1890" w:rsidRPr="008D231C" w:rsidTr="00F2539D">
        <w:tc>
          <w:tcPr>
            <w:tcW w:w="3190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FB1890" w:rsidRPr="008D231C" w:rsidTr="00F2539D">
        <w:tc>
          <w:tcPr>
            <w:tcW w:w="3190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FB1890" w:rsidRPr="008D231C" w:rsidTr="00F2539D">
        <w:tc>
          <w:tcPr>
            <w:tcW w:w="3190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FB1890" w:rsidRDefault="00FB1890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C05063" w:rsidRDefault="00C05063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5. Основные результаты инвестирования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295CAF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FB1890" w:rsidRDefault="00FB1890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FB1890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(*) Доходность за 2021 г. за период с 09.02.2021 г. по 31.12.2021 г.</w:t>
      </w:r>
    </w:p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1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2,75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1,19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0,39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-10,18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0,89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-12,77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1,69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-16,14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FB1890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1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sz w:val="22"/>
          <w:szCs w:val="22"/>
          <w:lang w:val="ru-RU"/>
        </w:rPr>
        <w:t>1 014,21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sz w:val="22"/>
          <w:szCs w:val="22"/>
          <w:lang w:val="ru-RU"/>
        </w:rPr>
        <w:t>10 142 063,18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2539D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Комиссии, оплачиваемые каждый год</w:t>
      </w:r>
    </w:p>
    <w:p w:rsidR="00623C91" w:rsidRPr="00623C91" w:rsidRDefault="00623C91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07B17">
              <w:rPr>
                <w:rFonts w:cs="Times New Roman"/>
                <w:sz w:val="22"/>
                <w:szCs w:val="22"/>
              </w:rPr>
              <w:lastRenderedPageBreak/>
              <w:t>Вознаграждение</w:t>
            </w:r>
            <w:proofErr w:type="spellEnd"/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Управляющей</w:t>
            </w:r>
            <w:proofErr w:type="spellEnd"/>
            <w:r w:rsidR="001C4017" w:rsidRPr="00407B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компании</w:t>
            </w:r>
            <w:proofErr w:type="spellEnd"/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FB1890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FB1890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FB1890">
              <w:rPr>
                <w:rFonts w:cs="Times New Roman"/>
                <w:sz w:val="22"/>
                <w:szCs w:val="22"/>
                <w:lang w:val="ru-RU"/>
              </w:rPr>
              <w:t>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FB1890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90135E">
        <w:rPr>
          <w:b/>
          <w:color w:val="000000"/>
          <w:lang w:val="ru-RU"/>
        </w:rPr>
        <w:fldChar w:fldCharType="separate"/>
      </w:r>
      <w:r w:rsidR="00FB1890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Акционерное общество "РЕГИОН </w:t>
      </w:r>
      <w:proofErr w:type="spellStart"/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Эссет</w:t>
      </w:r>
      <w:proofErr w:type="spellEnd"/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0819C2">
        <w:rPr>
          <w:b/>
          <w:lang w:val="ru-RU"/>
        </w:rPr>
        <w:fldChar w:fldCharType="separate"/>
      </w:r>
      <w:r w:rsidR="00FB1890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0819C2">
        <w:rPr>
          <w:b/>
          <w:kern w:val="0"/>
          <w:lang w:val="ru-RU" w:eastAsia="en-US" w:bidi="ar-SA"/>
        </w:rPr>
        <w:fldChar w:fldCharType="separate"/>
      </w:r>
      <w:r w:rsidR="00FB1890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FB1890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940529">
        <w:rPr>
          <w:b/>
          <w:kern w:val="0"/>
          <w:lang w:val="ru-RU" w:eastAsia="en-US" w:bidi="ar-SA"/>
        </w:rPr>
        <w:fldChar w:fldCharType="separate"/>
      </w:r>
      <w:r w:rsidR="00FB1890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90" w:rsidRDefault="00FB1890" w:rsidP="00F2539D">
      <w:r>
        <w:separator/>
      </w:r>
    </w:p>
  </w:endnote>
  <w:endnote w:type="continuationSeparator" w:id="0">
    <w:p w:rsidR="00FB1890" w:rsidRDefault="00FB1890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DD4" w:rsidRPr="00156DD4">
          <w:rPr>
            <w:noProof/>
            <w:lang w:val="ru-RU"/>
          </w:rPr>
          <w:t>4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90" w:rsidRDefault="00FB1890" w:rsidP="00F2539D">
      <w:r>
        <w:separator/>
      </w:r>
    </w:p>
  </w:footnote>
  <w:footnote w:type="continuationSeparator" w:id="0">
    <w:p w:rsidR="00FB1890" w:rsidRDefault="00FB1890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29.04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68,29"/>
    <w:docVar w:name="ДоляКрупнейшегоОбъектаИнвестирования2" w:val="7,53"/>
    <w:docVar w:name="ДоляКрупнейшегоОбъектаИнвестирования3" w:val="7,19"/>
    <w:docVar w:name="ДоляКрупнейшегоОбъектаИнвестирования4" w:val="6,94"/>
    <w:docVar w:name="ДоляКрупнейшегоОбъектаИнвестирования5" w:val="4,50"/>
    <w:docVar w:name="Доходность1Год" w:val="1,69"/>
    <w:docVar w:name="Доходность1Месяц" w:val="2,75"/>
    <w:docVar w:name="Доходность3Года" w:val="-"/>
    <w:docVar w:name="Доходность3Месяца" w:val="0,39"/>
    <w:docVar w:name="Доходность5Лет" w:val="-"/>
    <w:docVar w:name="Доходность6Месяцев" w:val="0,89"/>
    <w:docVar w:name="КоличествоОбъектовИнвестирования" w:val="14"/>
    <w:docVar w:name="КрупнейшийОбъектИнвестирования1" w:val="облигации, Минфин России, 26209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ПАО &quot;Газпром&quot;, 4B02-22-00028-A, RUB"/>
    <w:docVar w:name="КрупнейшийОбъектИнвестирования5" w:val="облигации, Комитет Финансов, RU35003GSP0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16,14"/>
    <w:docVar w:name="ОтклонениеОтИнфляции1Месяц" w:val="1,19"/>
    <w:docVar w:name="ОтклонениеОтИнфляции3Года" w:val="-"/>
    <w:docVar w:name="ОтклонениеОтИнфляции3Месяца" w:val="-10,18"/>
    <w:docVar w:name="ОтклонениеОтИнфляции5Лет" w:val="-"/>
    <w:docVar w:name="ОтклонениеОтИнфляции6Месяцев" w:val="-12,77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,35"/>
    <w:docVar w:name="ПроцентВознагражденияСД" w:val="0,6"/>
    <w:docVar w:name="ПроцентВознагражденияУК" w:val="0,75"/>
    <w:docVar w:name="СтоимостьПая" w:val="1 014,21"/>
    <w:docVar w:name="СЧА" w:val="10 142 063,18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3159A"/>
    <w:rsid w:val="00155F7B"/>
    <w:rsid w:val="00156DD4"/>
    <w:rsid w:val="001611EB"/>
    <w:rsid w:val="00163C0B"/>
    <w:rsid w:val="001A6B35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40A3C"/>
    <w:rsid w:val="00B52DDB"/>
    <w:rsid w:val="00B65F91"/>
    <w:rsid w:val="00B74175"/>
    <w:rsid w:val="00B8300E"/>
    <w:rsid w:val="00BC17C9"/>
    <w:rsid w:val="00BC5CDA"/>
    <w:rsid w:val="00BE7AE9"/>
    <w:rsid w:val="00BF53C5"/>
    <w:rsid w:val="00C05063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718E6"/>
    <w:rsid w:val="00F81E21"/>
    <w:rsid w:val="00F83472"/>
    <w:rsid w:val="00F97A97"/>
    <w:rsid w:val="00FA3C69"/>
    <w:rsid w:val="00FB07BD"/>
    <w:rsid w:val="00FB1890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E307-2B89-4EB3-B248-EA8F76BB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Акишина</cp:lastModifiedBy>
  <cp:revision>2</cp:revision>
  <dcterms:created xsi:type="dcterms:W3CDTF">2022-05-16T12:34:00Z</dcterms:created>
  <dcterms:modified xsi:type="dcterms:W3CDTF">2022-05-16T12:34:00Z</dcterms:modified>
</cp:coreProperties>
</file>